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3"/>
        </w:trPr>
        <w:tc>
          <w:tcPr>
            <w:tcW w:w="2700" w:type="dxa"/>
            <w:vAlign w:val="bottom"/>
            <w:tcBorders>
              <w:top w:val="single" w:sz="8" w:color="00000A"/>
              <w:left w:val="single" w:sz="8" w:color="00000A"/>
              <w:right w:val="single" w:sz="8" w:color="00000A"/>
            </w:tcBorders>
            <w:shd w:val="clear" w:color="auto" w:fill="92CDDC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b w:val="1"/>
                <w:bCs w:val="1"/>
                <w:color w:val="auto"/>
              </w:rPr>
              <w:t>Име, средње слово и</w:t>
            </w:r>
          </w:p>
        </w:tc>
        <w:tc>
          <w:tcPr>
            <w:tcW w:w="5340" w:type="dxa"/>
            <w:vAlign w:val="bottom"/>
            <w:tcBorders>
              <w:top w:val="single" w:sz="8" w:color="00000A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Бојана Милошевић</w:t>
            </w:r>
          </w:p>
        </w:tc>
        <w:tc>
          <w:tcPr>
            <w:tcW w:w="2660" w:type="dxa"/>
            <w:vAlign w:val="bottom"/>
            <w:tcBorders>
              <w:top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5"/>
        </w:trPr>
        <w:tc>
          <w:tcPr>
            <w:tcW w:w="270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  <w:shd w:val="clear" w:color="auto" w:fill="92CDDC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b w:val="1"/>
                <w:bCs w:val="1"/>
                <w:color w:val="auto"/>
              </w:rPr>
              <w:t>презиме</w:t>
            </w:r>
          </w:p>
        </w:tc>
        <w:tc>
          <w:tcPr>
            <w:tcW w:w="38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3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  <w:shd w:val="clear" w:color="auto" w:fill="92CDDC"/>
          </w:tcPr>
          <w:p>
            <w:pPr>
              <w:ind w:left="120"/>
              <w:spacing w:after="0" w:line="23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b w:val="1"/>
                <w:bCs w:val="1"/>
                <w:color w:val="auto"/>
              </w:rPr>
              <w:t>Картон научног радника –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9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5"/>
        </w:trPr>
        <w:tc>
          <w:tcPr>
            <w:tcW w:w="270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  <w:shd w:val="clear" w:color="auto" w:fill="92CDDC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b w:val="1"/>
                <w:bCs w:val="1"/>
                <w:color w:val="auto"/>
              </w:rPr>
              <w:t>број</w:t>
            </w:r>
          </w:p>
        </w:tc>
        <w:tc>
          <w:tcPr>
            <w:tcW w:w="38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4"/>
        </w:trPr>
        <w:tc>
          <w:tcPr>
            <w:tcW w:w="270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  <w:shd w:val="clear" w:color="auto" w:fill="92CDDC"/>
          </w:tcPr>
          <w:p>
            <w:pPr>
              <w:ind w:left="120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b w:val="1"/>
                <w:bCs w:val="1"/>
                <w:color w:val="auto"/>
              </w:rPr>
              <w:t>Звање</w:t>
            </w:r>
          </w:p>
        </w:tc>
        <w:tc>
          <w:tcPr>
            <w:tcW w:w="5340" w:type="dxa"/>
            <w:vAlign w:val="bottom"/>
            <w:tcBorders>
              <w:bottom w:val="single" w:sz="8" w:color="00000A"/>
            </w:tcBorders>
            <w:gridSpan w:val="2"/>
          </w:tcPr>
          <w:p>
            <w:pPr>
              <w:ind w:left="80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Доцент</w:t>
            </w:r>
          </w:p>
        </w:tc>
        <w:tc>
          <w:tcPr>
            <w:tcW w:w="26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4"/>
        </w:trPr>
        <w:tc>
          <w:tcPr>
            <w:tcW w:w="270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  <w:shd w:val="clear" w:color="auto" w:fill="92CDDC"/>
          </w:tcPr>
          <w:p>
            <w:pPr>
              <w:ind w:left="120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b w:val="1"/>
                <w:bCs w:val="1"/>
                <w:color w:val="auto"/>
              </w:rPr>
              <w:t>Ужа научна област</w:t>
            </w:r>
          </w:p>
        </w:tc>
        <w:tc>
          <w:tcPr>
            <w:tcW w:w="5340" w:type="dxa"/>
            <w:vAlign w:val="bottom"/>
            <w:tcBorders>
              <w:bottom w:val="single" w:sz="8" w:color="00000A"/>
            </w:tcBorders>
            <w:gridSpan w:val="2"/>
          </w:tcPr>
          <w:p>
            <w:pPr>
              <w:ind w:left="80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Вероватноћа и статистика</w:t>
            </w:r>
          </w:p>
        </w:tc>
        <w:tc>
          <w:tcPr>
            <w:tcW w:w="26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4"/>
        </w:trPr>
        <w:tc>
          <w:tcPr>
            <w:tcW w:w="270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  <w:shd w:val="clear" w:color="auto" w:fill="DAEEF3"/>
          </w:tcPr>
          <w:p>
            <w:pPr>
              <w:ind w:left="120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b w:val="1"/>
                <w:bCs w:val="1"/>
                <w:color w:val="auto"/>
              </w:rPr>
              <w:t>Академска каријера</w:t>
            </w:r>
          </w:p>
        </w:tc>
        <w:tc>
          <w:tcPr>
            <w:tcW w:w="380" w:type="dxa"/>
            <w:vAlign w:val="bottom"/>
            <w:tcBorders>
              <w:bottom w:val="single" w:sz="8" w:color="00000A"/>
            </w:tcBorders>
            <w:shd w:val="clear" w:color="auto" w:fill="DAEEF3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bottom w:val="single" w:sz="8" w:color="00000A"/>
              <w:right w:val="single" w:sz="8" w:color="00000A"/>
            </w:tcBorders>
            <w:shd w:val="clear" w:color="auto" w:fill="DAEEF3"/>
          </w:tcPr>
          <w:p>
            <w:pPr>
              <w:jc w:val="center"/>
              <w:ind w:right="416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  <w:w w:val="94"/>
              </w:rPr>
              <w:t>Година</w:t>
            </w:r>
          </w:p>
        </w:tc>
        <w:tc>
          <w:tcPr>
            <w:tcW w:w="2660" w:type="dxa"/>
            <w:vAlign w:val="bottom"/>
            <w:tcBorders>
              <w:bottom w:val="single" w:sz="8" w:color="00000A"/>
              <w:right w:val="single" w:sz="8" w:color="00000A"/>
            </w:tcBorders>
            <w:shd w:val="clear" w:color="auto" w:fill="DAEEF3"/>
          </w:tcPr>
          <w:p>
            <w:pPr>
              <w:ind w:left="1020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Област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4"/>
        </w:trPr>
        <w:tc>
          <w:tcPr>
            <w:tcW w:w="270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ind w:left="120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Избор у звање</w:t>
            </w:r>
          </w:p>
        </w:tc>
        <w:tc>
          <w:tcPr>
            <w:tcW w:w="5340" w:type="dxa"/>
            <w:vAlign w:val="bottom"/>
            <w:tcBorders>
              <w:bottom w:val="single" w:sz="8" w:color="00000A"/>
              <w:right w:val="single" w:sz="8" w:color="00000A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2016</w:t>
            </w:r>
          </w:p>
        </w:tc>
        <w:tc>
          <w:tcPr>
            <w:tcW w:w="26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Вероватноћа и статистика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4"/>
        </w:trPr>
        <w:tc>
          <w:tcPr>
            <w:tcW w:w="270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ind w:left="120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Докторат</w:t>
            </w:r>
          </w:p>
        </w:tc>
        <w:tc>
          <w:tcPr>
            <w:tcW w:w="5340" w:type="dxa"/>
            <w:vAlign w:val="bottom"/>
            <w:tcBorders>
              <w:bottom w:val="single" w:sz="8" w:color="00000A"/>
              <w:right w:val="single" w:sz="8" w:color="00000A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2016</w:t>
            </w:r>
          </w:p>
        </w:tc>
        <w:tc>
          <w:tcPr>
            <w:tcW w:w="26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Вероватноћа и статистика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4"/>
        </w:trPr>
        <w:tc>
          <w:tcPr>
            <w:tcW w:w="270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ind w:left="120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Специјализација</w:t>
            </w:r>
          </w:p>
        </w:tc>
        <w:tc>
          <w:tcPr>
            <w:tcW w:w="38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6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4"/>
        </w:trPr>
        <w:tc>
          <w:tcPr>
            <w:tcW w:w="270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ind w:left="120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Магистратура/мастер</w:t>
            </w:r>
          </w:p>
        </w:tc>
        <w:tc>
          <w:tcPr>
            <w:tcW w:w="5340" w:type="dxa"/>
            <w:vAlign w:val="bottom"/>
            <w:tcBorders>
              <w:bottom w:val="single" w:sz="8" w:color="00000A"/>
              <w:right w:val="single" w:sz="8" w:color="00000A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2012</w:t>
            </w:r>
          </w:p>
        </w:tc>
        <w:tc>
          <w:tcPr>
            <w:tcW w:w="26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4"/>
        </w:trPr>
        <w:tc>
          <w:tcPr>
            <w:tcW w:w="270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ind w:left="120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Диплома</w:t>
            </w:r>
          </w:p>
        </w:tc>
        <w:tc>
          <w:tcPr>
            <w:tcW w:w="5340" w:type="dxa"/>
            <w:vAlign w:val="bottom"/>
            <w:tcBorders>
              <w:bottom w:val="single" w:sz="8" w:color="00000A"/>
              <w:right w:val="single" w:sz="8" w:color="00000A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2011</w:t>
            </w:r>
          </w:p>
        </w:tc>
        <w:tc>
          <w:tcPr>
            <w:tcW w:w="26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4"/>
        </w:trPr>
        <w:tc>
          <w:tcPr>
            <w:tcW w:w="8040" w:type="dxa"/>
            <w:vAlign w:val="bottom"/>
            <w:tcBorders>
              <w:left w:val="single" w:sz="8" w:color="00000A"/>
              <w:bottom w:val="single" w:sz="8" w:color="00000A"/>
              <w:right w:val="single" w:sz="8" w:color="DAEEF3"/>
            </w:tcBorders>
            <w:gridSpan w:val="3"/>
            <w:shd w:val="clear" w:color="auto" w:fill="DAEEF3"/>
          </w:tcPr>
          <w:p>
            <w:pPr>
              <w:ind w:left="120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b w:val="1"/>
                <w:bCs w:val="1"/>
                <w:color w:val="auto"/>
              </w:rPr>
              <w:t>Списак предмета које наставник држи у текућој школској години</w:t>
            </w:r>
          </w:p>
        </w:tc>
        <w:tc>
          <w:tcPr>
            <w:tcW w:w="2660" w:type="dxa"/>
            <w:vAlign w:val="bottom"/>
            <w:tcBorders>
              <w:bottom w:val="single" w:sz="8" w:color="00000A"/>
              <w:right w:val="single" w:sz="8" w:color="00000A"/>
            </w:tcBorders>
            <w:shd w:val="clear" w:color="auto" w:fill="DAEEF3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4"/>
        </w:trPr>
        <w:tc>
          <w:tcPr>
            <w:tcW w:w="270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ind w:left="120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Р.б.</w:t>
            </w:r>
          </w:p>
        </w:tc>
        <w:tc>
          <w:tcPr>
            <w:tcW w:w="38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jc w:val="center"/>
              <w:ind w:right="416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  <w:w w:val="99"/>
              </w:rPr>
              <w:t>Назив предмета</w:t>
            </w:r>
          </w:p>
        </w:tc>
        <w:tc>
          <w:tcPr>
            <w:tcW w:w="26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720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Врста студија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4"/>
        </w:trPr>
        <w:tc>
          <w:tcPr>
            <w:tcW w:w="270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ind w:left="120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1.</w:t>
            </w:r>
          </w:p>
        </w:tc>
        <w:tc>
          <w:tcPr>
            <w:tcW w:w="38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jc w:val="center"/>
              <w:ind w:right="396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  <w:w w:val="99"/>
              </w:rPr>
              <w:t>Линеарни статистички модели</w:t>
            </w:r>
          </w:p>
        </w:tc>
        <w:tc>
          <w:tcPr>
            <w:tcW w:w="26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Основне академске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4"/>
        </w:trPr>
        <w:tc>
          <w:tcPr>
            <w:tcW w:w="270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ind w:left="120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2.</w:t>
            </w:r>
          </w:p>
        </w:tc>
        <w:tc>
          <w:tcPr>
            <w:tcW w:w="38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jc w:val="center"/>
              <w:ind w:right="416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  <w:w w:val="97"/>
              </w:rPr>
              <w:t>Статистика</w:t>
            </w:r>
          </w:p>
        </w:tc>
        <w:tc>
          <w:tcPr>
            <w:tcW w:w="26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Основне академске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4"/>
        </w:trPr>
        <w:tc>
          <w:tcPr>
            <w:tcW w:w="270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ind w:left="120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3.</w:t>
            </w:r>
          </w:p>
        </w:tc>
        <w:tc>
          <w:tcPr>
            <w:tcW w:w="38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jc w:val="center"/>
              <w:ind w:right="396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  <w:w w:val="98"/>
              </w:rPr>
              <w:t>Увод у статистику</w:t>
            </w:r>
          </w:p>
        </w:tc>
        <w:tc>
          <w:tcPr>
            <w:tcW w:w="26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Основне академске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4"/>
        </w:trPr>
        <w:tc>
          <w:tcPr>
            <w:tcW w:w="270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ind w:left="120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4.</w:t>
            </w:r>
          </w:p>
        </w:tc>
        <w:tc>
          <w:tcPr>
            <w:tcW w:w="38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jc w:val="center"/>
              <w:ind w:right="416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  <w:w w:val="99"/>
              </w:rPr>
              <w:t>Елементи финансијске математике</w:t>
            </w:r>
          </w:p>
        </w:tc>
        <w:tc>
          <w:tcPr>
            <w:tcW w:w="26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Основне и мастер академске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4"/>
        </w:trPr>
        <w:tc>
          <w:tcPr>
            <w:tcW w:w="270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ind w:left="120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5.</w:t>
            </w:r>
          </w:p>
        </w:tc>
        <w:tc>
          <w:tcPr>
            <w:tcW w:w="38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jc w:val="center"/>
              <w:ind w:right="416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9"/>
              </w:rPr>
              <w:t>Тестирање статистичких хипотеза</w:t>
            </w:r>
          </w:p>
        </w:tc>
        <w:tc>
          <w:tcPr>
            <w:tcW w:w="26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Доктрске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4"/>
        </w:trPr>
        <w:tc>
          <w:tcPr>
            <w:tcW w:w="270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ind w:left="120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6.</w:t>
            </w:r>
          </w:p>
        </w:tc>
        <w:tc>
          <w:tcPr>
            <w:tcW w:w="38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jc w:val="center"/>
              <w:ind w:right="416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Линеарни статистички модели</w:t>
            </w:r>
          </w:p>
        </w:tc>
        <w:tc>
          <w:tcPr>
            <w:tcW w:w="26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Доктрске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3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  <w:shd w:val="clear" w:color="auto" w:fill="DAEEF3"/>
          </w:tcPr>
          <w:p>
            <w:pPr>
              <w:ind w:left="120"/>
              <w:spacing w:after="0" w:line="23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b w:val="1"/>
                <w:bCs w:val="1"/>
                <w:color w:val="auto"/>
              </w:rPr>
              <w:t>Најзначајнији радови у</w:t>
            </w:r>
          </w:p>
        </w:tc>
        <w:tc>
          <w:tcPr>
            <w:tcW w:w="380" w:type="dxa"/>
            <w:vAlign w:val="bottom"/>
            <w:shd w:val="clear" w:color="auto" w:fill="DAEEF3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DAEEF3"/>
            </w:tcBorders>
            <w:shd w:val="clear" w:color="auto" w:fill="DAEEF3"/>
          </w:tcPr>
          <w:p>
            <w:pPr>
              <w:ind w:left="3520"/>
              <w:spacing w:after="0" w:line="23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b w:val="1"/>
                <w:bCs w:val="1"/>
                <w:color w:val="auto"/>
              </w:rPr>
              <w:t>М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  <w:shd w:val="clear" w:color="auto" w:fill="DAEEF3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  <w:shd w:val="clear" w:color="auto" w:fill="DAEEF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b w:val="1"/>
                <w:bCs w:val="1"/>
                <w:color w:val="auto"/>
              </w:rPr>
              <w:t>складу са захтевима</w:t>
            </w:r>
          </w:p>
        </w:tc>
        <w:tc>
          <w:tcPr>
            <w:tcW w:w="380" w:type="dxa"/>
            <w:vAlign w:val="bottom"/>
            <w:shd w:val="clear" w:color="auto" w:fill="DAEEF3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DAEEF3"/>
            </w:tcBorders>
            <w:shd w:val="clear" w:color="auto" w:fill="DAEEF3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  <w:shd w:val="clear" w:color="auto" w:fill="DAEEF3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  <w:shd w:val="clear" w:color="auto" w:fill="DAEEF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b w:val="1"/>
                <w:bCs w:val="1"/>
                <w:color w:val="auto"/>
              </w:rPr>
              <w:t>допунских стандарда за</w:t>
            </w:r>
          </w:p>
        </w:tc>
        <w:tc>
          <w:tcPr>
            <w:tcW w:w="380" w:type="dxa"/>
            <w:vAlign w:val="bottom"/>
            <w:shd w:val="clear" w:color="auto" w:fill="DAEEF3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DAEEF3"/>
            </w:tcBorders>
            <w:shd w:val="clear" w:color="auto" w:fill="DAEEF3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  <w:shd w:val="clear" w:color="auto" w:fill="DAEEF3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  <w:shd w:val="clear" w:color="auto" w:fill="DAEEF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b w:val="1"/>
                <w:bCs w:val="1"/>
                <w:color w:val="auto"/>
              </w:rPr>
              <w:t>дато поље (минимално 10</w:t>
            </w:r>
          </w:p>
        </w:tc>
        <w:tc>
          <w:tcPr>
            <w:tcW w:w="380" w:type="dxa"/>
            <w:vAlign w:val="bottom"/>
            <w:shd w:val="clear" w:color="auto" w:fill="DAEEF3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DAEEF3"/>
            </w:tcBorders>
            <w:shd w:val="clear" w:color="auto" w:fill="DAEEF3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  <w:shd w:val="clear" w:color="auto" w:fill="DAEEF3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5"/>
        </w:trPr>
        <w:tc>
          <w:tcPr>
            <w:tcW w:w="270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  <w:shd w:val="clear" w:color="auto" w:fill="DAEEF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b w:val="1"/>
                <w:bCs w:val="1"/>
                <w:color w:val="auto"/>
              </w:rPr>
              <w:t>не више од 20)</w:t>
            </w:r>
          </w:p>
        </w:tc>
        <w:tc>
          <w:tcPr>
            <w:tcW w:w="380" w:type="dxa"/>
            <w:vAlign w:val="bottom"/>
            <w:tcBorders>
              <w:bottom w:val="single" w:sz="8" w:color="00000A"/>
            </w:tcBorders>
            <w:shd w:val="clear" w:color="auto" w:fill="DAEEF3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bottom w:val="single" w:sz="8" w:color="00000A"/>
              <w:right w:val="single" w:sz="8" w:color="DAEEF3"/>
            </w:tcBorders>
            <w:shd w:val="clear" w:color="auto" w:fill="DAEEF3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60" w:type="dxa"/>
            <w:vAlign w:val="bottom"/>
            <w:tcBorders>
              <w:bottom w:val="single" w:sz="8" w:color="00000A"/>
              <w:right w:val="single" w:sz="8" w:color="00000A"/>
            </w:tcBorders>
            <w:shd w:val="clear" w:color="auto" w:fill="DAEEF3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80"/>
              <w:spacing w:after="0" w:line="165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3F3A38"/>
              </w:rPr>
              <w:t>1.</w:t>
            </w: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ind w:left="60"/>
              <w:spacing w:after="0" w:line="165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</w:rPr>
              <w:t>M. Cuparić, B. Milošević, M. Obradović New L 2 -type exponentiality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</w:tcPr>
          <w:p>
            <w:pPr>
              <w:ind w:left="60"/>
              <w:spacing w:after="0" w:line="1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M22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</w:rPr>
              <w:t>tests. SORT (2018) accepted for publication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  <w:vMerge w:val="restart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M22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3F3A38"/>
              </w:rPr>
              <w:t>2.</w:t>
            </w: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jc w:val="right"/>
              <w:ind w:right="116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</w:rPr>
              <w:t>V.  Božin,  B.  Milošević,  Ya.  Yu.  Nikitin,  M.  Obradović,New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</w:rPr>
              <w:t>Characterization-Based Symmetry Tests, B. Malays. Math. Sci. So.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</w:rPr>
              <w:t>(2018), doi:10.1007/s40840-018-0680-3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3F3A38"/>
              </w:rPr>
              <w:t>3.</w:t>
            </w: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jc w:val="right"/>
              <w:ind w:right="136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</w:rPr>
              <w:t>B. Milošević M. Obradović, Comparison of Efficiencies of some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  <w:vMerge w:val="restart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M23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</w:rPr>
              <w:t>Symmetry Tests around an Unknown Center. Statistics (2018),doi: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</w:rPr>
              <w:t>10.1080/02331888.2018.1526938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3F3A38"/>
              </w:rPr>
              <w:t>4.</w:t>
            </w: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  <w:w w:val="98"/>
              </w:rPr>
              <w:t>B. Milošević, Asymptotic Efficiency of Goodness-of-fit Tests Based on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  <w:vMerge w:val="restart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M23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  <w:w w:val="99"/>
              </w:rPr>
              <w:t>Too-Lin Characterization. Commun. Stat. Simul. Comput. (2018), doi: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</w:rPr>
              <w:t>10.1080/03610918.2018.1511805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  <w:vMerge w:val="restart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M22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3F3A38"/>
              </w:rPr>
              <w:t>5.</w:t>
            </w: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jc w:val="right"/>
              <w:ind w:right="116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</w:rPr>
              <w:t>S. Meintanis, B. Milošević M. Obradović. ”Goodness-of-fit tests in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  <w:w w:val="96"/>
              </w:rPr>
              <w:t>conditional duration models.” Stat. Papers (2017) doi: 10.1007/s00362-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</w:rPr>
              <w:t>017-0930-8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  <w:vMerge w:val="restart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M22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3F3A38"/>
              </w:rPr>
              <w:t>6.</w:t>
            </w: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</w:rPr>
              <w:t>B. Milošević, and M. Obradović ”New class of exponentiality tests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</w:rPr>
              <w:t>based on U-empirical Laplace transform.” Stat. Papers vol. 57(4)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</w:rPr>
              <w:t>(2016):977–990.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3F3A38"/>
              </w:rPr>
              <w:t>7.</w:t>
            </w: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</w:rPr>
              <w:t>B.Milošević  ,  M.  Obradović,  Some  Characterization  Based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  <w:vMerge w:val="restart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M23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</w:rPr>
              <w:t>Exponentiality Tests and their Bahadur Efficiencies, Publ. Inst. Math.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</w:rPr>
              <w:t>(Belgrade), vol.100(114) (2016): 107–117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3F3A38"/>
              </w:rPr>
              <w:t>8.</w:t>
            </w: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  <w:w w:val="96"/>
              </w:rPr>
              <w:t>B. Milošević M. Obradović, Characterization based symmetry tests and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  <w:vMerge w:val="restart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M23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  <w:w w:val="97"/>
              </w:rPr>
              <w:t>their asymptotic efficiencies, Statist. Probab. Lett., vol.119 (2016):155–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</w:rPr>
              <w:t>162.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3F3A38"/>
              </w:rPr>
              <w:t>9.</w:t>
            </w: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  <w:w w:val="97"/>
              </w:rPr>
              <w:t>B. Milošević, M. Obradović, Some characterizations of the exponential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  <w:vMerge w:val="restart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M21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  <w:w w:val="97"/>
              </w:rPr>
              <w:t>distribution based on order statistics, Appl. Anal. Discrete Math. vol.10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</w:rPr>
              <w:t>(2016):394–407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  <w:vMerge w:val="restart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M23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3F3A38"/>
              </w:rPr>
              <w:t>10.</w:t>
            </w: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</w:rPr>
              <w:t>B.  Milošević  M.  Obradović,  Two-dimensional  Kolmogorov-type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  <w:w w:val="96"/>
              </w:rPr>
              <w:t>Goodness-of-fit Tests Based on Characterizations and their Asymptotic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</w:rPr>
              <w:t>Efficiencies, J. Nonparametr. Stat. vol.28(2) (2016):413–427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  <w:vMerge w:val="restart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M23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3F3A38"/>
              </w:rPr>
              <w:t>11.</w:t>
            </w: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  <w:w w:val="98"/>
              </w:rPr>
              <w:t>B. Milošević Asymptotic Efficiency of New Exponentiality Tests Based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</w:rPr>
              <w:t>on a Characterization, Metrika vol.79(2) (2016):221–236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  <w:vMerge w:val="restart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M21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3F3A38"/>
              </w:rPr>
              <w:t>12.</w:t>
            </w: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</w:rPr>
              <w:t>M. Jovanović, B.Milošević , Ya. Yu. Nikitin, M. Obradović, K. Yu.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</w:rPr>
              <w:t>Volkova,  Tests  of  exponentiality  based  on  Arnold-Villasenor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  <w:w w:val="97"/>
              </w:rPr>
              <w:t>characterization, and their efficiencies, Comput. Stat. Data Anal. vol.90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270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00000A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</w:rPr>
              <w:t>(2015):100–113 5</w:t>
            </w:r>
          </w:p>
        </w:tc>
        <w:tc>
          <w:tcPr>
            <w:tcW w:w="2660" w:type="dxa"/>
            <w:vAlign w:val="bottom"/>
            <w:tcBorders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4"/>
        </w:trPr>
        <w:tc>
          <w:tcPr>
            <w:tcW w:w="270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00000A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3F3A38"/>
              </w:rPr>
              <w:t>13.</w:t>
            </w:r>
          </w:p>
        </w:tc>
        <w:tc>
          <w:tcPr>
            <w:tcW w:w="49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  <w:w w:val="96"/>
              </w:rPr>
              <w:t>M. Obradović, M. Jovanović, B. Milošević, V. Jevremović, Estimation of</w:t>
            </w:r>
          </w:p>
        </w:tc>
        <w:tc>
          <w:tcPr>
            <w:tcW w:w="26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-8213090</wp:posOffset>
            </wp:positionV>
            <wp:extent cx="11430" cy="821563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8215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1694180</wp:posOffset>
            </wp:positionH>
            <wp:positionV relativeFrom="paragraph">
              <wp:posOffset>-8213090</wp:posOffset>
            </wp:positionV>
            <wp:extent cx="11430" cy="82137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821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5038090</wp:posOffset>
            </wp:positionH>
            <wp:positionV relativeFrom="paragraph">
              <wp:posOffset>-7260590</wp:posOffset>
            </wp:positionV>
            <wp:extent cx="59690" cy="72612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" cy="7261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6780530</wp:posOffset>
            </wp:positionH>
            <wp:positionV relativeFrom="paragraph">
              <wp:posOffset>-8213090</wp:posOffset>
            </wp:positionV>
            <wp:extent cx="11430" cy="821563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8215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2240" w:h="15840" w:orient="portrait"/>
          <w:cols w:equalWidth="0" w:num="1">
            <w:col w:w="10700"/>
          </w:cols>
          <w:pgMar w:left="1020" w:top="1113" w:right="520" w:bottom="863" w:gutter="0" w:footer="0" w:header="0"/>
        </w:sectPr>
      </w:pPr>
    </w:p>
    <w:p>
      <w:pPr>
        <w:spacing w:after="0" w:line="68" w:lineRule="exact"/>
        <w:rPr>
          <w:sz w:val="24"/>
          <w:szCs w:val="24"/>
          <w:color w:val="auto"/>
        </w:rPr>
      </w:pPr>
    </w:p>
    <w:p>
      <w:pPr>
        <w:ind w:left="1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1</w:t>
      </w:r>
    </w:p>
    <w:p>
      <w:pPr>
        <w:sectPr>
          <w:pgSz w:w="12240" w:h="15840" w:orient="portrait"/>
          <w:cols w:equalWidth="0" w:num="1">
            <w:col w:w="10700"/>
          </w:cols>
          <w:pgMar w:left="1020" w:top="1113" w:right="520" w:bottom="863" w:gutter="0" w:footer="0" w:header="0"/>
          <w:type w:val="continuous"/>
        </w:sectPr>
      </w:pPr>
    </w:p>
    <w:bookmarkStart w:id="1" w:name="page2"/>
    <w:bookmarkEnd w:id="1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84"/>
        </w:trPr>
        <w:tc>
          <w:tcPr>
            <w:tcW w:w="7940" w:type="dxa"/>
            <w:vAlign w:val="bottom"/>
            <w:tcBorders>
              <w:top w:val="single" w:sz="8" w:color="00000A"/>
            </w:tcBorders>
          </w:tcPr>
          <w:p>
            <w:pPr>
              <w:ind w:left="3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  <w:w w:val="95"/>
              </w:rPr>
              <w:t>P{X ≤ Y } for Geometric-Poisson Model, Hacet. J. Math. Stat., vol.44(4)</w:t>
            </w:r>
          </w:p>
        </w:tc>
        <w:tc>
          <w:tcPr>
            <w:tcW w:w="2760" w:type="dxa"/>
            <w:vAlign w:val="bottom"/>
            <w:tcBorders>
              <w:top w:val="single" w:sz="8" w:color="00000A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M23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7940" w:type="dxa"/>
            <w:vAlign w:val="bottom"/>
          </w:tcPr>
          <w:p>
            <w:pPr>
              <w:ind w:left="3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</w:rPr>
              <w:t>(2015): 949–964</w:t>
            </w:r>
          </w:p>
        </w:tc>
        <w:tc>
          <w:tcPr>
            <w:tcW w:w="2760" w:type="dxa"/>
            <w:vAlign w:val="bottom"/>
            <w:vMerge w:val="restart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M21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7940" w:type="dxa"/>
            <w:vAlign w:val="bottom"/>
          </w:tcPr>
          <w:p>
            <w:pPr>
              <w:ind w:left="27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3F3A38"/>
              </w:rPr>
              <w:t xml:space="preserve">14.  </w:t>
            </w:r>
            <w:r>
              <w:rPr>
                <w:rFonts w:ascii="Arial" w:cs="Arial" w:eastAsia="Arial" w:hAnsi="Arial"/>
                <w:sz w:val="16"/>
                <w:szCs w:val="16"/>
                <w:color w:val="00000A"/>
              </w:rPr>
              <w:t>M. Obradović, M. Jovanoviić, B. Milošević, Goodness-of-fit tests for</w:t>
            </w:r>
          </w:p>
        </w:tc>
        <w:tc>
          <w:tcPr>
            <w:tcW w:w="2760" w:type="dxa"/>
            <w:vAlign w:val="bottom"/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7940" w:type="dxa"/>
            <w:vAlign w:val="bottom"/>
          </w:tcPr>
          <w:p>
            <w:pPr>
              <w:ind w:left="3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  <w:w w:val="97"/>
              </w:rPr>
              <w:t>Pareto distribution based on a characterization and their asymptotics,</w:t>
            </w:r>
          </w:p>
        </w:tc>
        <w:tc>
          <w:tcPr>
            <w:tcW w:w="276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7940" w:type="dxa"/>
            <w:vAlign w:val="bottom"/>
          </w:tcPr>
          <w:p>
            <w:pPr>
              <w:ind w:left="3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00000A"/>
              </w:rPr>
              <w:t>Statistics vol.49(5) (2015):1026– 1041</w:t>
            </w:r>
          </w:p>
        </w:tc>
        <w:tc>
          <w:tcPr>
            <w:tcW w:w="276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ind w:left="3140" w:hanging="354"/>
        <w:spacing w:after="0"/>
        <w:tabs>
          <w:tab w:leader="none" w:pos="3140" w:val="left"/>
        </w:tabs>
        <w:numPr>
          <w:ilvl w:val="0"/>
          <w:numId w:val="1"/>
        </w:numPr>
        <w:rPr>
          <w:rFonts w:ascii="Arial" w:cs="Arial" w:eastAsia="Arial" w:hAnsi="Arial"/>
          <w:sz w:val="16"/>
          <w:szCs w:val="16"/>
          <w:color w:val="3F3A38"/>
        </w:rPr>
      </w:pPr>
      <w:r>
        <w:rPr>
          <w:rFonts w:ascii="Arial" w:cs="Arial" w:eastAsia="Arial" w:hAnsi="Arial"/>
          <w:sz w:val="16"/>
          <w:szCs w:val="16"/>
          <w:color w:val="00000A"/>
        </w:rPr>
        <w:drawing>
          <wp:anchor simplePos="0" relativeHeight="251657728" behindDoc="1" locked="0" layoutInCell="0" allowOverlap="1">
            <wp:simplePos x="0" y="0"/>
            <wp:positionH relativeFrom="page">
              <wp:posOffset>646430</wp:posOffset>
            </wp:positionH>
            <wp:positionV relativeFrom="page">
              <wp:posOffset>718820</wp:posOffset>
            </wp:positionV>
            <wp:extent cx="6793230" cy="269875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3230" cy="269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>M. Obradović, M. Jovanović, B. Milošević Optimal unbiased estimates</w:t>
      </w:r>
    </w:p>
    <w:p>
      <w:pPr>
        <w:ind w:left="3140"/>
        <w:spacing w:after="0"/>
        <w:tabs>
          <w:tab w:leader="none" w:pos="804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6"/>
          <w:szCs w:val="16"/>
          <w:color w:val="00000A"/>
        </w:rPr>
        <w:t>of P{X &lt; Y } for some families of distributions, Metodoloˇski zvezki -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15"/>
          <w:szCs w:val="15"/>
          <w:color w:val="auto"/>
        </w:rPr>
        <w:t>M51</w:t>
      </w:r>
    </w:p>
    <w:p>
      <w:pPr>
        <w:ind w:left="314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6"/>
          <w:szCs w:val="16"/>
          <w:color w:val="00000A"/>
        </w:rPr>
        <w:t>Advances in Methodology and Statistics, vol.11(1) (2014):21–29.</w:t>
      </w:r>
    </w:p>
    <w:p>
      <w:pPr>
        <w:spacing w:after="0" w:line="18" w:lineRule="exact"/>
        <w:rPr>
          <w:sz w:val="20"/>
          <w:szCs w:val="20"/>
          <w:color w:val="auto"/>
        </w:rPr>
      </w:pPr>
    </w:p>
    <w:p>
      <w:pPr>
        <w:ind w:left="12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"/>
          <w:szCs w:val="20"/>
          <w:b w:val="1"/>
          <w:bCs w:val="1"/>
          <w:color w:val="auto"/>
        </w:rPr>
        <w:t>Зби</w:t>
      </w:r>
    </w:p>
    <w:p>
      <w:pPr>
        <w:ind w:left="12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"/>
          <w:szCs w:val="20"/>
          <w:b w:val="1"/>
          <w:bCs w:val="1"/>
          <w:color w:val="auto"/>
        </w:rPr>
        <w:t>рни подаци научне активности наставника</w:t>
      </w:r>
    </w:p>
    <w:p>
      <w:pPr>
        <w:spacing w:after="0" w:line="1" w:lineRule="exact"/>
        <w:rPr>
          <w:sz w:val="20"/>
          <w:szCs w:val="20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34"/>
        </w:trPr>
        <w:tc>
          <w:tcPr>
            <w:tcW w:w="2540" w:type="dxa"/>
            <w:vAlign w:val="bottom"/>
            <w:tcBorders>
              <w:top w:val="single" w:sz="8" w:color="00000A"/>
            </w:tcBorders>
          </w:tcPr>
          <w:p>
            <w:pPr>
              <w:ind w:left="120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Укупан број цитата, без</w:t>
            </w:r>
          </w:p>
        </w:tc>
        <w:tc>
          <w:tcPr>
            <w:tcW w:w="5420" w:type="dxa"/>
            <w:vAlign w:val="bottom"/>
            <w:tcBorders>
              <w:top w:val="single" w:sz="8" w:color="00000A"/>
            </w:tcBorders>
          </w:tcPr>
          <w:p>
            <w:pPr>
              <w:ind w:left="240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20</w:t>
            </w:r>
          </w:p>
        </w:tc>
        <w:tc>
          <w:tcPr>
            <w:tcW w:w="2740" w:type="dxa"/>
            <w:vAlign w:val="bottom"/>
            <w:tcBorders>
              <w:top w:val="single" w:sz="8" w:color="00000A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44"/>
        </w:trPr>
        <w:tc>
          <w:tcPr>
            <w:tcW w:w="2540" w:type="dxa"/>
            <w:vAlign w:val="bottom"/>
            <w:tcBorders>
              <w:bottom w:val="single" w:sz="8" w:color="00000A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аутоцитат</w:t>
            </w:r>
          </w:p>
        </w:tc>
        <w:tc>
          <w:tcPr>
            <w:tcW w:w="542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74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34"/>
        </w:trPr>
        <w:tc>
          <w:tcPr>
            <w:tcW w:w="2540" w:type="dxa"/>
            <w:vAlign w:val="bottom"/>
          </w:tcPr>
          <w:p>
            <w:pPr>
              <w:ind w:left="120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Укупан број радова са SCI</w:t>
            </w:r>
          </w:p>
        </w:tc>
        <w:tc>
          <w:tcPr>
            <w:tcW w:w="5420" w:type="dxa"/>
            <w:vAlign w:val="bottom"/>
          </w:tcPr>
          <w:p>
            <w:pPr>
              <w:ind w:left="240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14</w:t>
            </w:r>
          </w:p>
        </w:tc>
        <w:tc>
          <w:tcPr>
            <w:tcW w:w="27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44"/>
        </w:trPr>
        <w:tc>
          <w:tcPr>
            <w:tcW w:w="2540" w:type="dxa"/>
            <w:vAlign w:val="bottom"/>
            <w:tcBorders>
              <w:bottom w:val="single" w:sz="8" w:color="00000A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(или SSCI) листе</w:t>
            </w:r>
          </w:p>
        </w:tc>
        <w:tc>
          <w:tcPr>
            <w:tcW w:w="542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74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33"/>
        </w:trPr>
        <w:tc>
          <w:tcPr>
            <w:tcW w:w="2540" w:type="dxa"/>
            <w:vAlign w:val="bottom"/>
          </w:tcPr>
          <w:p>
            <w:pPr>
              <w:ind w:left="120"/>
              <w:spacing w:after="0" w:line="23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Тренутно учешће на</w:t>
            </w:r>
          </w:p>
        </w:tc>
        <w:tc>
          <w:tcPr>
            <w:tcW w:w="5420" w:type="dxa"/>
            <w:vAlign w:val="bottom"/>
            <w:tcBorders>
              <w:right w:val="single" w:sz="8" w:color="00000A"/>
            </w:tcBorders>
          </w:tcPr>
          <w:p>
            <w:pPr>
              <w:ind w:left="240"/>
              <w:spacing w:after="0" w:line="23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 xml:space="preserve">Домаћи </w:t>
            </w:r>
            <w:r>
              <w:rPr>
                <w:rFonts w:ascii="Calibri" w:cs="Calibri" w:eastAsia="Calibri" w:hAnsi="Calibri"/>
                <w:sz w:val="16"/>
                <w:szCs w:val="16"/>
                <w:color w:val="auto"/>
              </w:rPr>
              <w:t>Министарство просвете, науке и технолошког развоја, пројекат</w:t>
            </w:r>
          </w:p>
        </w:tc>
        <w:tc>
          <w:tcPr>
            <w:tcW w:w="27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45"/>
        </w:trPr>
        <w:tc>
          <w:tcPr>
            <w:tcW w:w="2540" w:type="dxa"/>
            <w:vAlign w:val="bottom"/>
            <w:tcBorders>
              <w:bottom w:val="single" w:sz="8" w:color="00000A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пројектима</w:t>
            </w:r>
          </w:p>
        </w:tc>
        <w:tc>
          <w:tcPr>
            <w:tcW w:w="542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auto"/>
              </w:rPr>
              <w:t>"Геометрија, обраѕовање и виѕуалиѕација са применама"</w:t>
            </w:r>
          </w:p>
        </w:tc>
        <w:tc>
          <w:tcPr>
            <w:tcW w:w="274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31"/>
        </w:trPr>
        <w:tc>
          <w:tcPr>
            <w:tcW w:w="2540" w:type="dxa"/>
            <w:vAlign w:val="bottom"/>
          </w:tcPr>
          <w:p>
            <w:pPr>
              <w:ind w:left="12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Усавршавања</w:t>
            </w:r>
          </w:p>
        </w:tc>
        <w:tc>
          <w:tcPr>
            <w:tcW w:w="54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7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</w:tbl>
    <w:p>
      <w:pPr>
        <w:spacing w:after="0"/>
        <w:rPr>
          <w:sz w:val="20"/>
          <w:szCs w:val="20"/>
          <w:color w:val="auto"/>
        </w:rPr>
      </w:pPr>
      <w:r>
        <w:rPr>
          <w:sz w:val="1"/>
          <w:szCs w:val="1"/>
          <w:color w:val="auto"/>
        </w:rPr>
        <w:drawing>
          <wp:inline distT="0" distB="0" distL="0" distR="0">
            <wp:extent cx="11430" cy="1333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cs="Calibri" w:eastAsia="Calibri" w:hAnsi="Calibri"/>
          <w:sz w:val="20"/>
          <w:szCs w:val="20"/>
          <w:b w:val="1"/>
          <w:bCs w:val="1"/>
          <w:color w:val="auto"/>
        </w:rPr>
        <w:t xml:space="preserve"> Други подаци које сматрате релевантним</w:t>
      </w:r>
    </w:p>
    <w:p>
      <w:pPr>
        <w:sectPr>
          <w:pgSz w:w="12240" w:h="15840" w:orient="portrait"/>
          <w:cols w:equalWidth="0" w:num="1">
            <w:col w:w="10700"/>
          </w:cols>
          <w:pgMar w:left="1020" w:top="1113" w:right="520" w:bottom="593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5" w:lineRule="exact"/>
        <w:rPr>
          <w:sz w:val="20"/>
          <w:szCs w:val="20"/>
          <w:color w:val="auto"/>
        </w:rPr>
      </w:pPr>
    </w:p>
    <w:p>
      <w:pPr>
        <w:ind w:left="1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</w:t>
      </w:r>
    </w:p>
    <w:sectPr>
      <w:pgSz w:w="12240" w:h="15840" w:orient="portrait"/>
      <w:cols w:equalWidth="0" w:num="1">
        <w:col w:w="10700"/>
      </w:cols>
      <w:pgMar w:left="1020" w:top="1113" w:right="520" w:bottom="593" w:gutter="0" w:footer="0" w:header="0"/>
      <w:type w:val="continuous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400001FF" w:csb1="FFFF0000"/>
  </w:font>
</w:fonts>
</file>

<file path=word/numbering.xml><?xml version="1.0" encoding="utf-8"?>
<w:numbering xmlns:w="http://schemas.openxmlformats.org/wordprocessingml/2006/main">
  <w:abstractNum w:abstractNumId="0">
    <w:nsid w:val="327B23C6"/>
    <w:multiLevelType w:val="hybridMultilevel"/>
    <w:lvl w:ilvl="0">
      <w:lvlJc w:val="left"/>
      <w:lvlText w:val="%1."/>
      <w:numFmt w:val="decimal"/>
      <w:start w:val="15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2019-01-29T07:34:32Z</dcterms:created>
  <dcterms:modified xsi:type="dcterms:W3CDTF">2019-01-29T07:34:32Z</dcterms:modified>
</cp:coreProperties>
</file>